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CC" w:rsidRDefault="009D02CC" w:rsidP="009D02CC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D02CC" w:rsidRPr="009D02CC" w:rsidRDefault="009D02CC" w:rsidP="009D02CC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CC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ИРКУТСКАЯ ОБЛАСТЬ</w:t>
      </w:r>
    </w:p>
    <w:p w:rsidR="009D02CC" w:rsidRPr="009D02CC" w:rsidRDefault="009D02CC" w:rsidP="009D02C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9D02CC" w:rsidRPr="009D02CC" w:rsidRDefault="009D02CC" w:rsidP="009D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СОВЕТ</w:t>
      </w:r>
    </w:p>
    <w:p w:rsidR="009D02CC" w:rsidRPr="009D02CC" w:rsidRDefault="009D02CC" w:rsidP="009D02C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CC" w:rsidRPr="009D02CC" w:rsidRDefault="009D02CC" w:rsidP="009D02CC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669120, с. Баяндай, ул. </w:t>
      </w:r>
      <w:proofErr w:type="spellStart"/>
      <w:r w:rsidRPr="009D02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Бутунаева</w:t>
      </w:r>
      <w:proofErr w:type="spellEnd"/>
      <w:r w:rsidRPr="009D02C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9D02CC" w:rsidRPr="009D02CC" w:rsidTr="000F4EB0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D02CC" w:rsidRPr="009D02CC" w:rsidRDefault="00F22375" w:rsidP="009D02CC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</w:pict>
            </w:r>
          </w:p>
        </w:tc>
      </w:tr>
    </w:tbl>
    <w:p w:rsidR="009D02CC" w:rsidRPr="009D02CC" w:rsidRDefault="009D02CC" w:rsidP="009D02CC">
      <w:pPr>
        <w:spacing w:after="0" w:line="240" w:lineRule="auto"/>
        <w:ind w:right="-7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29.05. 2017 г. № 2-1/17</w:t>
      </w: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отопительного сезона 2016-2017г.г. </w:t>
      </w: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подготовка к новому отопительному сезону </w:t>
      </w: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информацию начальника отдела строительства и ЖКХ  Администрации МО «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Хунгеева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Ф.К. о завершение отопительного сезона 2016-2017г.г. и подготовке к новому отопительному сезону,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ПОСТАНОВЛЯЮ: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начальника отдела строительства и ЖКХ  Администрации МО «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Хунгеева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Ф.К. о завершение отопительного сезона 2016-2017г.г. и подготовке к новому отопительному сезону к сведению.</w:t>
      </w:r>
    </w:p>
    <w:p w:rsidR="009D02CC" w:rsidRPr="009D02CC" w:rsidRDefault="009D02CC" w:rsidP="009D0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на официальном сайте 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муниципального образования</w:t>
      </w:r>
    </w:p>
    <w:p w:rsidR="009D02CC" w:rsidRPr="009D02CC" w:rsidRDefault="009D02CC" w:rsidP="009D02C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D02CC" w:rsidRPr="009D02CC" w:rsidRDefault="009D02CC" w:rsidP="009D02C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А.П.Табинаев</w:t>
      </w:r>
      <w:proofErr w:type="spellEnd"/>
    </w:p>
    <w:p w:rsidR="009D02CC" w:rsidRPr="009D02CC" w:rsidRDefault="009D02CC" w:rsidP="009D02C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E48" w:rsidRDefault="00180E48" w:rsidP="009D02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D1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Прохождение  отопительного сезона 2016-2017гг.</w:t>
      </w:r>
    </w:p>
    <w:p w:rsidR="009D02CC" w:rsidRPr="009D02CC" w:rsidRDefault="009D02CC" w:rsidP="009D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Согласно распоряжению мэра МО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отопительный период начался  с 15 сентября 2016 года в бюджетных учреждениях района. Отопление было подключено во всех образовательных учреждениях района. Имеется по району  задолженность за потребленную электрическую энергию составляет по Восточному отделению ООО «ИЭСК» на сумму 9,7 млн</w:t>
      </w: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за тепловую энергию 4,4 млн.руб., за уголь 1,917 млн.руб. </w:t>
      </w: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Жилищный фонд в районе неблагоустроенный, без центрального отопления, без горячего и холодного водоснабжения. Вода привозная. 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Утвержден план взаимодействия сил и средств на случай чрезвычайных ситуации. 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 начале отопительного сезона все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теплоисточники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прошли проверку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комиссионо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были подписаны акты готовности объекта к отопительному сезону на все теплоисточников подлежащих паспортизации.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Всего 21 муниципальных теплоисточника, из них: 9-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электрокотельных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12- угольных.                                  </w:t>
      </w:r>
      <w:proofErr w:type="gramEnd"/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Резервные источники электропитания имеются на новой районной больнице (подстанция КТП – владелец ГУЭП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Облкоммунэнерго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в средних общеобразовательных школах с</w:t>
      </w: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аяндай (подстанция КТП – владелец ГУЭП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Облкоммунэнерго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с.Тургеневка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с.Загатуй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4AB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отопительный сезон</w:t>
      </w:r>
      <w:r w:rsidR="00F014A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создано</w:t>
      </w: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аварийно-технический запас из на 260 тыс. рублей,  (сетевые насосы,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ремкомплекты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электробойлерам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D02CC" w:rsidRPr="009D02CC" w:rsidRDefault="00F014AB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Все объекты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работали </w:t>
      </w:r>
      <w:r w:rsidR="009D02CC"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штатном режиме.</w:t>
      </w: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Начиная с 2014 г. в районе проводились следующие мероприятия: </w:t>
      </w: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Подпрограмма «Модернизация объектов коммунальной инфраструктуры Иркутской области на 2014-2018г.г.» Государственной программы Иркутской области «Развитие 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жилищно-коммунальго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Иркутской области» на 2014-2018 годы – Реконструкция теплоисточника с обустройством артезианской скважины и подключением к учреждениям бюджетной сферы с</w:t>
      </w: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аяндай на общую сумму </w:t>
      </w:r>
      <w:r w:rsidRPr="009D0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29 000 000</w:t>
      </w: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Первый этап – Реконструкция теплоисточника выполнена на сумму 19 000 000 руб. Работы  выполнены. Подрядчик – ООО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Ушаковская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    </w:t>
      </w: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2015 г. продолжены работы по второму этапу - строительству тепловых сетей на 10 000 000 руб. От новой котельной подведены тепловые сети к средней школе, ДК «Колос» и новый детский сад. </w:t>
      </w: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2016 г. выполнены работы по капитальному ремонту инженерных сетей </w:t>
      </w: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аяндай на сумму 15 млн.руб.</w:t>
      </w: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4AB" w:rsidRDefault="00F014AB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180E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Разработана муниципальная программа «Энергосбережение и повышение энергетической эффективности в муниципальном образовании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2014-2017 годы»</w:t>
      </w:r>
    </w:p>
    <w:p w:rsidR="009D02CC" w:rsidRPr="009D02CC" w:rsidRDefault="009D02CC" w:rsidP="009D02CC">
      <w:pPr>
        <w:autoSpaceDE w:val="0"/>
        <w:autoSpaceDN w:val="0"/>
        <w:adjustRightInd w:val="0"/>
        <w:spacing w:after="0" w:line="240" w:lineRule="auto"/>
        <w:ind w:right="-850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3601"/>
        <w:gridCol w:w="1134"/>
        <w:gridCol w:w="1275"/>
        <w:gridCol w:w="1134"/>
        <w:gridCol w:w="1134"/>
        <w:gridCol w:w="993"/>
      </w:tblGrid>
      <w:tr w:rsidR="009D02CC" w:rsidRPr="009D02CC" w:rsidTr="000F4EB0">
        <w:trPr>
          <w:trHeight w:val="491"/>
        </w:trPr>
        <w:tc>
          <w:tcPr>
            <w:tcW w:w="794" w:type="dxa"/>
            <w:vMerge w:val="restart"/>
          </w:tcPr>
          <w:p w:rsidR="009D02CC" w:rsidRPr="009D02CC" w:rsidRDefault="009D02CC" w:rsidP="009D02C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01" w:type="dxa"/>
            <w:vMerge w:val="restart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реализации,</w:t>
            </w: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  <w:tc>
          <w:tcPr>
            <w:tcW w:w="3261" w:type="dxa"/>
            <w:gridSpan w:val="3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</w:t>
            </w: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тыс</w:t>
            </w:r>
            <w:proofErr w:type="gramStart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9D02CC" w:rsidRPr="009D02CC" w:rsidTr="000F4EB0">
        <w:trPr>
          <w:trHeight w:val="316"/>
        </w:trPr>
        <w:tc>
          <w:tcPr>
            <w:tcW w:w="794" w:type="dxa"/>
            <w:vMerge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1" w:type="dxa"/>
            <w:vMerge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</w:t>
            </w:r>
            <w:proofErr w:type="spellEnd"/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993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</w:t>
            </w:r>
          </w:p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инженерных сетей с</w:t>
            </w:r>
            <w:proofErr w:type="gramStart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аяндай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 «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Баяндаевский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2 593,7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2 124,0</w:t>
            </w: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469,7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 котельного и котельно-вспомогательного оборудования МБОУ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Ользоновская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Ользоновская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1 320,0</w:t>
            </w: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ремонт твердотопливного котла МБОУ </w:t>
            </w:r>
            <w:proofErr w:type="gram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Васильевская</w:t>
            </w:r>
            <w:proofErr w:type="gram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Васильевская СОШ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котельно-вспомогательного оборудования МДОУ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Загатуйская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МДОУ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Загатуйская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дымовой трубы угольной котельной </w:t>
            </w:r>
            <w:proofErr w:type="spellStart"/>
            <w:proofErr w:type="gram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котельной</w:t>
            </w:r>
            <w:proofErr w:type="spellEnd"/>
            <w:proofErr w:type="gram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МБОУ Васильевской СОШ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Васильевская СОШ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198,0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дымовой трубы угольной котельной МБОУ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Хоготовская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Хоготовская</w:t>
            </w:r>
            <w:proofErr w:type="spellEnd"/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4 936,7</w:t>
            </w: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3 444</w:t>
            </w: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2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1 492,7</w:t>
            </w:r>
          </w:p>
        </w:tc>
      </w:tr>
      <w:tr w:rsidR="009D02CC" w:rsidRPr="009D02CC" w:rsidTr="000F4EB0">
        <w:tc>
          <w:tcPr>
            <w:tcW w:w="79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1" w:type="dxa"/>
          </w:tcPr>
          <w:p w:rsidR="009D02CC" w:rsidRPr="009D02CC" w:rsidRDefault="009D02CC" w:rsidP="009D0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02CC" w:rsidRPr="009D02CC" w:rsidRDefault="009D02CC" w:rsidP="009D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D02CC" w:rsidRPr="009D02CC" w:rsidRDefault="009D02CC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ЖКХ </w:t>
      </w: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Баяндаевский</w:t>
      </w:r>
      <w:proofErr w:type="spellEnd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2CC">
        <w:rPr>
          <w:rFonts w:ascii="Times New Roman" w:eastAsia="Times New Roman" w:hAnsi="Times New Roman" w:cs="Times New Roman"/>
          <w:sz w:val="26"/>
          <w:szCs w:val="26"/>
          <w:lang w:eastAsia="ru-RU"/>
        </w:rPr>
        <w:t>Ф.К.Хунгеев</w:t>
      </w:r>
      <w:proofErr w:type="spellEnd"/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2CC" w:rsidRPr="009D02CC" w:rsidRDefault="009D02CC" w:rsidP="009D02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12E" w:rsidRDefault="00D0612E"/>
    <w:sectPr w:rsidR="00D0612E" w:rsidSect="0004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B5A0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CC"/>
    <w:rsid w:val="000429BF"/>
    <w:rsid w:val="000E6474"/>
    <w:rsid w:val="00180E48"/>
    <w:rsid w:val="009D02CC"/>
    <w:rsid w:val="00BC4D55"/>
    <w:rsid w:val="00D0612E"/>
    <w:rsid w:val="00D10AF9"/>
    <w:rsid w:val="00F014AB"/>
    <w:rsid w:val="00F2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</dc:creator>
  <cp:lastModifiedBy>Лариса Сергеевна</cp:lastModifiedBy>
  <cp:revision>5</cp:revision>
  <dcterms:created xsi:type="dcterms:W3CDTF">2017-05-25T04:22:00Z</dcterms:created>
  <dcterms:modified xsi:type="dcterms:W3CDTF">2017-06-26T07:48:00Z</dcterms:modified>
</cp:coreProperties>
</file>